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23" w:lineRule="atLeast"/>
        <w:jc w:val="center"/>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普通高</w:t>
      </w:r>
      <w:bookmarkStart w:id="0" w:name="_GoBack"/>
      <w:bookmarkEnd w:id="0"/>
      <w:r>
        <w:rPr>
          <w:rFonts w:hint="eastAsia" w:ascii="楷体" w:hAnsi="楷体" w:eastAsia="楷体" w:cs="楷体"/>
          <w:b/>
          <w:bCs/>
          <w:color w:val="000000"/>
          <w:kern w:val="0"/>
          <w:sz w:val="32"/>
          <w:szCs w:val="32"/>
        </w:rPr>
        <w:t>等学校本科教学工作合格评估指标和基本要求（试行）</w:t>
      </w:r>
    </w:p>
    <w:tbl>
      <w:tblPr>
        <w:tblStyle w:val="4"/>
        <w:tblW w:w="142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79"/>
        <w:gridCol w:w="1103"/>
        <w:gridCol w:w="3609"/>
        <w:gridCol w:w="1746"/>
        <w:gridCol w:w="1380"/>
        <w:gridCol w:w="3130"/>
        <w:gridCol w:w="1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3" w:type="dxa"/>
            <w:tcBorders>
              <w:top w:val="single" w:color="auto" w:sz="12"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一级</w:t>
            </w:r>
          </w:p>
          <w:p>
            <w:pPr>
              <w:widowControl/>
              <w:jc w:val="both"/>
              <w:rPr>
                <w:rFonts w:hint="eastAsia" w:ascii="楷体" w:hAnsi="楷体" w:eastAsia="楷体" w:cs="楷体"/>
                <w:bCs/>
                <w:color w:val="000000"/>
                <w:kern w:val="0"/>
                <w:szCs w:val="21"/>
              </w:rPr>
            </w:pPr>
            <w:r>
              <w:rPr>
                <w:rFonts w:hint="eastAsia" w:ascii="楷体" w:hAnsi="楷体" w:eastAsia="楷体" w:cs="楷体"/>
                <w:b/>
                <w:color w:val="000000"/>
                <w:kern w:val="0"/>
                <w:szCs w:val="21"/>
              </w:rPr>
              <w:t>指标</w:t>
            </w:r>
          </w:p>
        </w:tc>
        <w:tc>
          <w:tcPr>
            <w:tcW w:w="779" w:type="dxa"/>
            <w:tcBorders>
              <w:top w:val="single" w:color="auto" w:sz="12"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二级</w:t>
            </w:r>
          </w:p>
          <w:p>
            <w:pPr>
              <w:widowControl/>
              <w:jc w:val="both"/>
              <w:rPr>
                <w:rFonts w:hint="eastAsia" w:ascii="楷体" w:hAnsi="楷体" w:eastAsia="楷体" w:cs="楷体"/>
                <w:bCs/>
                <w:color w:val="000000"/>
                <w:kern w:val="0"/>
                <w:szCs w:val="21"/>
              </w:rPr>
            </w:pPr>
            <w:r>
              <w:rPr>
                <w:rFonts w:hint="eastAsia" w:ascii="楷体" w:hAnsi="楷体" w:eastAsia="楷体" w:cs="楷体"/>
                <w:b/>
                <w:color w:val="000000"/>
                <w:kern w:val="0"/>
                <w:szCs w:val="21"/>
              </w:rPr>
              <w:t>指标</w:t>
            </w:r>
          </w:p>
        </w:tc>
        <w:tc>
          <w:tcPr>
            <w:tcW w:w="1103" w:type="dxa"/>
            <w:tcBorders>
              <w:top w:val="single" w:color="auto" w:sz="12"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主  要</w:t>
            </w:r>
          </w:p>
          <w:p>
            <w:pPr>
              <w:widowControl/>
              <w:jc w:val="both"/>
              <w:rPr>
                <w:rFonts w:hint="eastAsia" w:ascii="楷体" w:hAnsi="楷体" w:eastAsia="楷体" w:cs="楷体"/>
                <w:bCs/>
                <w:color w:val="000000"/>
                <w:kern w:val="0"/>
                <w:szCs w:val="21"/>
              </w:rPr>
            </w:pPr>
            <w:r>
              <w:rPr>
                <w:rFonts w:hint="eastAsia" w:ascii="楷体" w:hAnsi="楷体" w:eastAsia="楷体" w:cs="楷体"/>
                <w:b/>
                <w:color w:val="000000"/>
                <w:kern w:val="0"/>
                <w:szCs w:val="21"/>
              </w:rPr>
              <w:t>观测点</w:t>
            </w:r>
          </w:p>
        </w:tc>
        <w:tc>
          <w:tcPr>
            <w:tcW w:w="3609" w:type="dxa"/>
            <w:tcBorders>
              <w:top w:val="single" w:color="auto" w:sz="12"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b/>
                <w:bCs/>
                <w:color w:val="000000"/>
                <w:kern w:val="0"/>
                <w:szCs w:val="21"/>
              </w:rPr>
            </w:pPr>
            <w:r>
              <w:rPr>
                <w:rFonts w:hint="eastAsia" w:ascii="楷体" w:hAnsi="楷体" w:eastAsia="楷体" w:cs="楷体"/>
                <w:b/>
                <w:color w:val="000000"/>
                <w:kern w:val="0"/>
                <w:szCs w:val="21"/>
              </w:rPr>
              <w:t>基  本  要  求</w:t>
            </w:r>
          </w:p>
        </w:tc>
        <w:tc>
          <w:tcPr>
            <w:tcW w:w="1746" w:type="dxa"/>
            <w:tcBorders>
              <w:top w:val="single" w:color="auto" w:sz="12"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r>
              <w:rPr>
                <w:rFonts w:hint="eastAsia" w:ascii="楷体" w:hAnsi="楷体" w:eastAsia="楷体" w:cs="楷体"/>
                <w:b/>
                <w:color w:val="000000"/>
                <w:kern w:val="0"/>
                <w:szCs w:val="21"/>
              </w:rPr>
              <w:t>备   注</w:t>
            </w:r>
          </w:p>
        </w:tc>
        <w:tc>
          <w:tcPr>
            <w:tcW w:w="1380" w:type="dxa"/>
            <w:tcBorders>
              <w:top w:val="single" w:color="auto" w:sz="12"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2018年修订观测点</w:t>
            </w:r>
          </w:p>
        </w:tc>
        <w:tc>
          <w:tcPr>
            <w:tcW w:w="3130" w:type="dxa"/>
            <w:tcBorders>
              <w:top w:val="single" w:color="auto" w:sz="12"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2018年修订基本要求</w:t>
            </w:r>
          </w:p>
        </w:tc>
        <w:tc>
          <w:tcPr>
            <w:tcW w:w="1820" w:type="dxa"/>
            <w:tcBorders>
              <w:top w:val="single" w:color="auto" w:sz="12"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2018年修订备注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办</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学</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思</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路</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与</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领</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导</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作</w:t>
            </w:r>
          </w:p>
          <w:p>
            <w:pPr>
              <w:widowControl/>
              <w:jc w:val="both"/>
              <w:rPr>
                <w:rFonts w:hint="eastAsia" w:ascii="楷体" w:hAnsi="楷体" w:eastAsia="楷体" w:cs="楷体"/>
                <w:color w:val="000000"/>
                <w:kern w:val="0"/>
                <w:szCs w:val="21"/>
              </w:rPr>
            </w:pPr>
            <w:r>
              <w:rPr>
                <w:rFonts w:hint="eastAsia" w:ascii="楷体" w:hAnsi="楷体" w:eastAsia="楷体" w:cs="楷体"/>
                <w:b/>
                <w:color w:val="000000"/>
                <w:kern w:val="0"/>
                <w:szCs w:val="21"/>
              </w:rPr>
              <w:t>用</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1.1</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学校</w:t>
            </w:r>
          </w:p>
          <w:p>
            <w:pPr>
              <w:widowControl/>
              <w:jc w:val="both"/>
              <w:rPr>
                <w:rFonts w:hint="eastAsia" w:ascii="楷体" w:hAnsi="楷体" w:eastAsia="楷体" w:cs="楷体"/>
                <w:b/>
                <w:bCs/>
                <w:color w:val="000000"/>
                <w:kern w:val="0"/>
                <w:szCs w:val="21"/>
              </w:rPr>
            </w:pPr>
            <w:r>
              <w:rPr>
                <w:rFonts w:hint="eastAsia" w:ascii="楷体" w:hAnsi="楷体" w:eastAsia="楷体" w:cs="楷体"/>
                <w:color w:val="000000"/>
                <w:kern w:val="0"/>
                <w:szCs w:val="21"/>
              </w:rPr>
              <w:t>定位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b/>
                <w:bCs/>
                <w:color w:val="000000"/>
                <w:kern w:val="0"/>
                <w:szCs w:val="21"/>
              </w:rPr>
            </w:pPr>
            <w:r>
              <w:rPr>
                <w:rFonts w:hint="eastAsia" w:ascii="楷体" w:hAnsi="楷体" w:eastAsia="楷体" w:cs="楷体"/>
                <w:color w:val="000000"/>
                <w:kern w:val="0"/>
                <w:szCs w:val="21"/>
              </w:rPr>
              <w:t>● 学校定位与规划[注1]</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学校办学定位明确，发展目标清晰，能主动服务区域（行业）经济社会发展；规划科学合理，符合学校发展的实际需要；注重办学特色培育。</w:t>
            </w:r>
          </w:p>
          <w:p>
            <w:pPr>
              <w:widowControl/>
              <w:jc w:val="both"/>
              <w:rPr>
                <w:rFonts w:hint="eastAsia" w:ascii="楷体" w:hAnsi="楷体" w:eastAsia="楷体" w:cs="楷体"/>
                <w:color w:val="000000"/>
                <w:kern w:val="0"/>
                <w:szCs w:val="21"/>
              </w:rPr>
            </w:pP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r>
              <w:rPr>
                <w:rFonts w:hint="eastAsia" w:ascii="楷体" w:hAnsi="楷体" w:eastAsia="楷体" w:cs="楷体"/>
                <w:color w:val="000000"/>
                <w:kern w:val="0"/>
                <w:szCs w:val="21"/>
              </w:rPr>
              <w:t>[注1]学校规划包括学校教育事业发展规划、学科专业建设规划、师资队伍建设规划和校园建设规划。</w:t>
            </w: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spacing w:after="53"/>
              <w:ind w:left="53" w:right="28"/>
              <w:jc w:val="both"/>
              <w:rPr>
                <w:rFonts w:hint="eastAsia" w:ascii="楷体" w:hAnsi="楷体" w:eastAsia="楷体" w:cs="楷体"/>
              </w:rPr>
            </w:pPr>
          </w:p>
          <w:p>
            <w:pPr>
              <w:spacing w:after="53"/>
              <w:ind w:left="53" w:right="28"/>
              <w:jc w:val="both"/>
              <w:rPr>
                <w:rFonts w:hint="eastAsia" w:ascii="楷体" w:hAnsi="楷体" w:eastAsia="楷体" w:cs="楷体"/>
                <w:color w:val="000000"/>
                <w:kern w:val="0"/>
                <w:szCs w:val="21"/>
              </w:rPr>
            </w:pPr>
            <w:r>
              <w:rPr>
                <w:rFonts w:hint="eastAsia" w:ascii="楷体" w:hAnsi="楷体" w:eastAsia="楷体" w:cs="楷体"/>
              </w:rPr>
              <w:t>学校办学定位明确，发展目标清晰，能主动服务区域（行业）经济社会发展；规划科学合理，符合学校发展实际需要；</w:t>
            </w:r>
            <w:r>
              <w:rPr>
                <w:rFonts w:hint="eastAsia" w:ascii="楷体" w:hAnsi="楷体" w:eastAsia="楷体" w:cs="楷体"/>
                <w:b/>
                <w:bCs/>
                <w:color w:val="FF0000"/>
                <w:sz w:val="24"/>
                <w:szCs w:val="32"/>
                <w:u w:val="single"/>
              </w:rPr>
              <w:t>坚持内涵式发展</w:t>
            </w:r>
            <w:r>
              <w:rPr>
                <w:rFonts w:hint="eastAsia" w:ascii="楷体" w:hAnsi="楷体" w:eastAsia="楷体" w:cs="楷体"/>
              </w:rPr>
              <w:t>，注重</w:t>
            </w:r>
            <w:r>
              <w:rPr>
                <w:rFonts w:hint="eastAsia" w:ascii="楷体" w:hAnsi="楷体" w:eastAsia="楷体" w:cs="楷体"/>
                <w:b/>
                <w:bCs/>
                <w:color w:val="FF0000"/>
                <w:sz w:val="24"/>
                <w:szCs w:val="32"/>
                <w:u w:val="single"/>
              </w:rPr>
              <w:t>应用型</w:t>
            </w:r>
            <w:r>
              <w:rPr>
                <w:rFonts w:hint="eastAsia" w:ascii="楷体" w:hAnsi="楷体" w:eastAsia="楷体" w:cs="楷体"/>
              </w:rPr>
              <w:t>办学特色培育。</w:t>
            </w: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[注1]</w:t>
            </w:r>
            <w:r>
              <w:rPr>
                <w:rFonts w:hint="eastAsia" w:ascii="楷体" w:hAnsi="楷体" w:eastAsia="楷体" w:cs="楷体"/>
              </w:rPr>
              <w:t>学校规划包括学校教育事业发展规划、学科专业建设规划、师资队伍建设规划、校园建设规划和</w:t>
            </w:r>
            <w:r>
              <w:rPr>
                <w:rFonts w:hint="eastAsia" w:ascii="楷体" w:hAnsi="楷体" w:eastAsia="楷体" w:cs="楷体"/>
                <w:b/>
                <w:bCs/>
                <w:color w:val="FF0000"/>
                <w:sz w:val="24"/>
                <w:u w:val="single"/>
              </w:rPr>
              <w:t>信息化建设规划</w:t>
            </w:r>
            <w:r>
              <w:rPr>
                <w:rFonts w:hint="eastAsia" w:ascii="楷体" w:hAnsi="楷体" w:eastAsia="楷体" w:cs="楷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1.2</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领导</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作用</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领导能力</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教学中心地位</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各级领导班子遵循高等教育办学和教学规律，树立“办学以教师为本，教学以学生为本”的办学理念，认真落实学校发展规划和目标，教育教学管理能力较强。</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有以提高质量为核心、落实教学工作中心地位的政策与措施，重视建立并完善内部教学质量保障体系；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各级教学管理人员责任明确，各职能部门服务人才培养情况好，师生基本满意。</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领导能力</w:t>
            </w:r>
          </w:p>
          <w:p>
            <w:pPr>
              <w:ind w:left="53" w:right="28"/>
              <w:jc w:val="both"/>
              <w:rPr>
                <w:rFonts w:hint="eastAsia" w:ascii="楷体" w:hAnsi="楷体" w:eastAsia="楷体" w:cs="楷体"/>
                <w:color w:val="000000"/>
                <w:kern w:val="0"/>
                <w:szCs w:val="21"/>
              </w:rPr>
            </w:pPr>
            <w:r>
              <w:rPr>
                <w:rFonts w:hint="eastAsia" w:ascii="楷体" w:hAnsi="楷体" w:eastAsia="楷体" w:cs="楷体"/>
                <w:b/>
                <w:bCs/>
                <w:color w:val="FF0000"/>
                <w:sz w:val="24"/>
                <w:u w:val="single"/>
              </w:rPr>
              <w:t>加强党对学校的领导</w:t>
            </w:r>
            <w:r>
              <w:rPr>
                <w:rFonts w:hint="eastAsia" w:ascii="楷体" w:hAnsi="楷体" w:eastAsia="楷体" w:cs="楷体"/>
              </w:rPr>
              <w:t>，各级领导班子遵循高等教育办学和教学规律，树立</w:t>
            </w:r>
            <w:r>
              <w:rPr>
                <w:rFonts w:hint="eastAsia" w:ascii="楷体" w:hAnsi="楷体" w:eastAsia="楷体" w:cs="楷体"/>
                <w:b/>
                <w:bCs/>
                <w:color w:val="FF0000"/>
                <w:sz w:val="24"/>
                <w:u w:val="single"/>
              </w:rPr>
              <w:t>主动服务区域（行业）经济社会发展</w:t>
            </w:r>
            <w:r>
              <w:rPr>
                <w:rFonts w:hint="eastAsia" w:ascii="楷体" w:hAnsi="楷体" w:eastAsia="楷体" w:cs="楷体"/>
                <w:b/>
                <w:bCs/>
                <w:sz w:val="24"/>
              </w:rPr>
              <w:t>，</w:t>
            </w:r>
            <w:r>
              <w:rPr>
                <w:rFonts w:hint="eastAsia" w:ascii="楷体" w:hAnsi="楷体" w:eastAsia="楷体" w:cs="楷体"/>
                <w:b/>
                <w:bCs/>
                <w:color w:val="FF0000"/>
                <w:sz w:val="24"/>
                <w:u w:val="single"/>
              </w:rPr>
              <w:t>培养高素质应用型人才的办学思路</w:t>
            </w:r>
            <w:r>
              <w:rPr>
                <w:rFonts w:hint="eastAsia" w:ascii="楷体" w:hAnsi="楷体" w:eastAsia="楷体" w:cs="楷体"/>
              </w:rPr>
              <w:t>，认真落实学校发展规划和目标，</w:t>
            </w:r>
            <w:r>
              <w:rPr>
                <w:rFonts w:hint="eastAsia" w:ascii="楷体" w:hAnsi="楷体" w:eastAsia="楷体" w:cs="楷体"/>
                <w:color w:val="000000"/>
                <w:kern w:val="0"/>
                <w:szCs w:val="21"/>
              </w:rPr>
              <w:t>教育教学管理能力较强。</w:t>
            </w:r>
          </w:p>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1.3</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人才</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培养</w:t>
            </w:r>
          </w:p>
          <w:p>
            <w:pPr>
              <w:widowControl/>
              <w:jc w:val="both"/>
              <w:rPr>
                <w:rFonts w:hint="eastAsia" w:ascii="楷体" w:hAnsi="楷体" w:eastAsia="楷体" w:cs="楷体"/>
                <w:b/>
                <w:bCs/>
                <w:color w:val="000000"/>
                <w:kern w:val="0"/>
                <w:szCs w:val="21"/>
              </w:rPr>
            </w:pPr>
            <w:r>
              <w:rPr>
                <w:rFonts w:hint="eastAsia" w:ascii="楷体" w:hAnsi="楷体" w:eastAsia="楷体" w:cs="楷体"/>
                <w:color w:val="000000"/>
                <w:kern w:val="0"/>
                <w:szCs w:val="21"/>
              </w:rPr>
              <w:t>模式</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人才培养思路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ind w:left="210" w:hanging="210" w:hangingChars="100"/>
              <w:jc w:val="both"/>
              <w:rPr>
                <w:rFonts w:hint="eastAsia" w:ascii="楷体" w:hAnsi="楷体" w:eastAsia="楷体" w:cs="楷体"/>
                <w:b/>
                <w:bCs/>
                <w:color w:val="000000"/>
                <w:kern w:val="0"/>
                <w:szCs w:val="21"/>
              </w:rPr>
            </w:pPr>
            <w:r>
              <w:rPr>
                <w:rFonts w:hint="eastAsia" w:ascii="楷体" w:hAnsi="楷体" w:eastAsia="楷体" w:cs="楷体"/>
                <w:color w:val="000000"/>
                <w:kern w:val="0"/>
                <w:szCs w:val="21"/>
              </w:rPr>
              <w:t>● 产学研合作教育</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坚持育人为本，德育为先，能力为重，全面发展；</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突出应用型人才培养，思路清晰，效果明显；</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关注学生不同特点和个性差异，注重因材施教。</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积极开展产学研合作教育，在与企（事）业或行业合作举办专业、共建教学资源、合作培养人才、合作就业等方面取得较好效果。</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ind w:left="53" w:right="28"/>
              <w:jc w:val="both"/>
              <w:rPr>
                <w:rFonts w:hint="eastAsia" w:ascii="楷体" w:hAnsi="楷体" w:eastAsia="楷体" w:cs="楷体"/>
                <w:b/>
                <w:bCs/>
                <w:color w:val="FF0000"/>
                <w:sz w:val="24"/>
                <w:u w:val="single"/>
              </w:rPr>
            </w:pPr>
            <w:r>
              <w:rPr>
                <w:rFonts w:hint="eastAsia" w:ascii="楷体" w:hAnsi="楷体" w:eastAsia="楷体" w:cs="楷体"/>
                <w:color w:val="000000"/>
                <w:kern w:val="0"/>
                <w:szCs w:val="21"/>
              </w:rPr>
              <w:t>● 人才培养思路</w:t>
            </w:r>
          </w:p>
          <w:p>
            <w:pPr>
              <w:ind w:left="53" w:right="28"/>
              <w:jc w:val="both"/>
              <w:rPr>
                <w:rFonts w:hint="eastAsia" w:ascii="楷体" w:hAnsi="楷体" w:eastAsia="楷体" w:cs="楷体"/>
              </w:rPr>
            </w:pPr>
            <w:r>
              <w:rPr>
                <w:rFonts w:hint="eastAsia" w:ascii="楷体" w:hAnsi="楷体" w:eastAsia="楷体" w:cs="楷体"/>
                <w:b/>
                <w:bCs/>
                <w:color w:val="FF0000"/>
                <w:sz w:val="24"/>
                <w:u w:val="single"/>
              </w:rPr>
              <w:t>落实立德树人根本任务</w:t>
            </w:r>
            <w:r>
              <w:rPr>
                <w:rFonts w:hint="eastAsia" w:ascii="楷体" w:hAnsi="楷体" w:eastAsia="楷体" w:cs="楷体"/>
              </w:rPr>
              <w:t>，坚持育人为本，德育为先，能力为重，全面发展；突出应用型人才培养，思路清晰，效果明显；</w:t>
            </w:r>
            <w:r>
              <w:rPr>
                <w:rFonts w:hint="eastAsia" w:ascii="楷体" w:hAnsi="楷体" w:eastAsia="楷体" w:cs="楷体"/>
                <w:b/>
                <w:bCs/>
                <w:color w:val="FF0000"/>
                <w:sz w:val="24"/>
                <w:u w:val="single"/>
              </w:rPr>
              <w:t>以学生发展为中心</w:t>
            </w:r>
            <w:r>
              <w:rPr>
                <w:rFonts w:hint="eastAsia" w:ascii="楷体" w:hAnsi="楷体" w:eastAsia="楷体" w:cs="楷体"/>
              </w:rPr>
              <w:t>，关注学生不同特点和个性差异，注重因材施教。</w:t>
            </w:r>
          </w:p>
          <w:p>
            <w:pPr>
              <w:widowControl/>
              <w:jc w:val="both"/>
              <w:rPr>
                <w:rFonts w:hint="eastAsia" w:ascii="楷体" w:hAnsi="楷体" w:eastAsia="楷体" w:cs="楷体"/>
                <w:b/>
                <w:bCs/>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教</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师</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队</w:t>
            </w:r>
          </w:p>
          <w:p>
            <w:pPr>
              <w:widowControl/>
              <w:jc w:val="both"/>
              <w:rPr>
                <w:rFonts w:hint="eastAsia" w:ascii="楷体" w:hAnsi="楷体" w:eastAsia="楷体" w:cs="楷体"/>
                <w:bCs/>
                <w:color w:val="000000"/>
                <w:kern w:val="0"/>
                <w:szCs w:val="21"/>
              </w:rPr>
            </w:pPr>
            <w:r>
              <w:rPr>
                <w:rFonts w:hint="eastAsia" w:ascii="楷体" w:hAnsi="楷体" w:eastAsia="楷体" w:cs="楷体"/>
                <w:b/>
                <w:color w:val="000000"/>
                <w:kern w:val="0"/>
                <w:szCs w:val="21"/>
              </w:rPr>
              <w:t>伍</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2.1</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数量</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与结构</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生师比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队伍结构</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全校生师比达到国家办学条件要求[注2]；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各专业的教师数量满足本专业教学需要；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合理的控制班级授课规模，有足够数量的教师参与学生学习辅导。</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专任教师中具有硕士学位、博士学位的比例≥50%；</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在编的主讲教师中90%以上具有讲师及以上专业技术职务或具有硕士、博士学位，并通过岗前培训；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教师队伍年龄、学历、专业技术职务等结构合理，有一定数量的具备专业（行业）职业资格和任职经历的教师，整体素质能满足学校定位和人才培养目标的要求。</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r>
              <w:rPr>
                <w:rFonts w:hint="eastAsia" w:ascii="楷体" w:hAnsi="楷体" w:eastAsia="楷体" w:cs="楷体"/>
                <w:color w:val="000000"/>
                <w:kern w:val="0"/>
                <w:szCs w:val="21"/>
              </w:rPr>
              <w:t>[注2]参照教育部教发［2004］2号文件限制招生规定。</w:t>
            </w: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Cs/>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2.2</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教育</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教学</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水平</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师德水平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教学水平</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履行教师岗位职责，教书育人，从严执教，为人师表，严谨治学，遵守学术道德规范。</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教师的课堂教学、实践指导总体上能满足人才培养目标的要求，教学效果较好，学生基本满意。</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spacing w:after="14"/>
              <w:ind w:left="53" w:hanging="10"/>
              <w:jc w:val="both"/>
              <w:rPr>
                <w:rFonts w:hint="eastAsia" w:ascii="楷体" w:hAnsi="楷体" w:eastAsia="楷体" w:cs="楷体"/>
                <w:color w:val="000000"/>
                <w:kern w:val="0"/>
                <w:szCs w:val="21"/>
              </w:rPr>
            </w:pPr>
            <w:r>
              <w:rPr>
                <w:rFonts w:hint="eastAsia" w:ascii="楷体" w:hAnsi="楷体" w:eastAsia="楷体" w:cs="楷体"/>
                <w:color w:val="000000"/>
                <w:kern w:val="0"/>
                <w:szCs w:val="21"/>
              </w:rPr>
              <w:t>● 教学水平</w:t>
            </w:r>
          </w:p>
          <w:p>
            <w:pPr>
              <w:spacing w:after="14"/>
              <w:ind w:left="53" w:hanging="10"/>
              <w:jc w:val="both"/>
              <w:rPr>
                <w:rFonts w:hint="eastAsia" w:ascii="楷体" w:hAnsi="楷体" w:eastAsia="楷体" w:cs="楷体"/>
              </w:rPr>
            </w:pPr>
            <w:r>
              <w:rPr>
                <w:rFonts w:hint="eastAsia" w:ascii="楷体" w:hAnsi="楷体" w:eastAsia="楷体" w:cs="楷体"/>
                <w:b/>
                <w:bCs/>
                <w:color w:val="FF0000"/>
                <w:sz w:val="24"/>
                <w:u w:val="single"/>
              </w:rPr>
              <w:t>建立引导教师投入教学的机制</w:t>
            </w:r>
            <w:r>
              <w:rPr>
                <w:rFonts w:hint="eastAsia" w:ascii="楷体" w:hAnsi="楷体" w:eastAsia="楷体" w:cs="楷体"/>
              </w:rPr>
              <w:t>；教师的课堂教学、实践指导总体上能满足人才培养目标的要求，教风和教学效果较好，学生基本满意。</w:t>
            </w:r>
          </w:p>
          <w:p>
            <w:pPr>
              <w:widowControl/>
              <w:jc w:val="both"/>
              <w:rPr>
                <w:rFonts w:hint="eastAsia" w:ascii="楷体" w:hAnsi="楷体" w:eastAsia="楷体" w:cs="楷体"/>
                <w:b/>
                <w:bCs/>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Cs/>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2.3</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培养</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培训</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培养培训</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有计划开展了教学团队建设、专业带头人培养等工作，初见成效；</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有提高教师教学水平和能力的措施；</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有加强教师专业职业资格和任职经历培养的措施，效果较好；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重视青年教师培训和专业发展，有规划、有措施、有实效。</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培养培训</w:t>
            </w:r>
          </w:p>
          <w:p>
            <w:pPr>
              <w:widowControl/>
              <w:jc w:val="both"/>
              <w:rPr>
                <w:rFonts w:hint="eastAsia" w:ascii="楷体" w:hAnsi="楷体" w:eastAsia="楷体" w:cs="楷体"/>
                <w:b/>
                <w:bCs/>
                <w:color w:val="000000"/>
                <w:kern w:val="0"/>
                <w:szCs w:val="21"/>
              </w:rPr>
            </w:pPr>
            <w:r>
              <w:rPr>
                <w:rFonts w:hint="eastAsia" w:ascii="楷体" w:hAnsi="楷体" w:eastAsia="楷体" w:cs="楷体"/>
              </w:rPr>
              <w:t>有计划开展了教学团队建设、专业带头人培养等工作，初见成效；有提高教师教学水平和能力的措施，</w:t>
            </w:r>
            <w:r>
              <w:rPr>
                <w:rFonts w:hint="eastAsia" w:ascii="楷体" w:hAnsi="楷体" w:eastAsia="楷体" w:cs="楷体"/>
                <w:b/>
                <w:bCs/>
                <w:color w:val="FF0000"/>
                <w:sz w:val="24"/>
                <w:u w:val="single"/>
              </w:rPr>
              <w:t>将课程育人作为教学督导和教师绩效考核的重要方面</w:t>
            </w:r>
            <w:r>
              <w:rPr>
                <w:rFonts w:hint="eastAsia" w:ascii="楷体" w:hAnsi="楷体" w:eastAsia="楷体" w:cs="楷体"/>
              </w:rPr>
              <w:t>；有加强教师专业职业资格和任职经历培养的措施，效果较好；重视青年教师培训和专业发展，有规划、有措施、有实效。</w:t>
            </w: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Merge w:val="restart"/>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教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学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条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件</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与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利</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用</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3.1</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教学   基本</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设施</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实验室、实习场所建设与利用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●图书资料和校园网建设与利用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●校舍、运动场所、活动场所及设施建设与利用</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生均教学科研仪器设备值及新增教学科研仪器设备所占比例达到国家办学条件要求[注3]；</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实验室、实习场所及其设施能满足教学基本要求，利用率较高。</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生均藏书量和生均年进书量达到国家办学条件要求[注4]；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图书资料（含电子类图书）能满足教学基本要求，利用率高；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重视校园网及网络资源建设，在教学中发挥积极作用。</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生均教学行政用房面积达到国家办学条件要求[注5]；</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教室、实验室、实习场所和附属用房面积以及其它相关校舍基本满足人才培养的需要，利用率较高；</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运动场、学生活动中心及相关设施满足人才培养需要。</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b/>
                <w:bCs/>
                <w:color w:val="000000"/>
                <w:kern w:val="0"/>
                <w:szCs w:val="21"/>
              </w:rPr>
            </w:pPr>
            <w:r>
              <w:rPr>
                <w:rFonts w:hint="eastAsia" w:ascii="楷体" w:hAnsi="楷体" w:eastAsia="楷体" w:cs="楷体"/>
                <w:color w:val="000000"/>
                <w:kern w:val="0"/>
                <w:szCs w:val="21"/>
              </w:rPr>
              <w:t>[注3] [注4] [注5]参照教育部教发［2004］2号文件限制招生规定。</w:t>
            </w: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3.2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经费</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投入</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●教学经费投入</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教学经费投入较好地满足人才培养需要。其中，教学日常运行支出[注6]占经常性预算内教育事业费拨款（205类教育拨款扣除专项拨款）与学费收入之和的比例≥13%。</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生均年教学日常运行支出≥1200元人民币，且应随着教育事业经费的增长而逐步增长。</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6]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专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业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与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课</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程</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建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设</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4.1</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专业</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建设</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专业设置与结构调整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培养方案</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有明确的专业设置标准和合理的建设规划，能根据区域经济社会发展需要和本校实际调整专业，专业结构总体合理；</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注重特色专业的培育。</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培养方案反映专业培养目标，体现了德、智、体、美全面发展的要求；构建了科学合理的培养应用型人才的课程体系，其中，人文社科类专业实践教学占总学分（学时）不低于20%，理工农医类专业实践教学比例占总学分（学时）比例不低于25%，师范类专业教育实习不少于12周；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培养方案执行情况良好。</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ind w:left="53" w:right="28"/>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培养方案</w:t>
            </w:r>
          </w:p>
          <w:p>
            <w:pPr>
              <w:ind w:left="53" w:right="28"/>
              <w:jc w:val="both"/>
              <w:rPr>
                <w:rFonts w:hint="eastAsia" w:ascii="楷体" w:hAnsi="楷体" w:eastAsia="楷体" w:cs="楷体"/>
              </w:rPr>
            </w:pPr>
            <w:r>
              <w:rPr>
                <w:rFonts w:hint="eastAsia" w:ascii="楷体" w:hAnsi="楷体" w:eastAsia="楷体" w:cs="楷体"/>
              </w:rPr>
              <w:t>培养方案反映专业培养目标，体现了德、智、体、美全面发展的要求；</w:t>
            </w:r>
            <w:r>
              <w:rPr>
                <w:rFonts w:hint="eastAsia" w:ascii="楷体" w:hAnsi="楷体" w:eastAsia="楷体" w:cs="楷体"/>
                <w:b/>
                <w:bCs/>
                <w:color w:val="FF0000"/>
                <w:sz w:val="24"/>
                <w:u w:val="single"/>
              </w:rPr>
              <w:t>有企业行业专家参与制定修订专业人才培养方案</w:t>
            </w:r>
            <w:r>
              <w:rPr>
                <w:rFonts w:hint="eastAsia" w:ascii="楷体" w:hAnsi="楷体" w:eastAsia="楷体" w:cs="楷体"/>
              </w:rPr>
              <w:t>；构建了科学合理的培养应用型人才的课程体系，其中人文社科类专业实践教学占总学分（学时）不低于20％，理工农医类专业实践教学比例占总学分（学时）比例不低于25％，师范类专业教育实习不少于12周</w:t>
            </w:r>
            <w:r>
              <w:rPr>
                <w:rFonts w:hint="eastAsia" w:ascii="楷体" w:hAnsi="楷体" w:eastAsia="楷体" w:cs="楷体"/>
                <w:u w:val="single"/>
              </w:rPr>
              <w:t>；</w:t>
            </w:r>
            <w:r>
              <w:rPr>
                <w:rFonts w:hint="eastAsia" w:ascii="楷体" w:hAnsi="楷体" w:eastAsia="楷体" w:cs="楷体"/>
                <w:b/>
                <w:bCs/>
                <w:color w:val="FF0000"/>
                <w:sz w:val="24"/>
                <w:u w:val="single"/>
              </w:rPr>
              <w:t>创新创业教育融入人才培养体系，开设专门课程，纳入学分管理</w:t>
            </w:r>
            <w:r>
              <w:rPr>
                <w:rFonts w:hint="eastAsia" w:ascii="楷体" w:hAnsi="楷体" w:eastAsia="楷体" w:cs="楷体"/>
              </w:rPr>
              <w:t>；培养方案执行情况良好。</w:t>
            </w: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4.2</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课程</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与教学</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ind w:left="210" w:hanging="210" w:hangingChars="100"/>
              <w:jc w:val="both"/>
              <w:rPr>
                <w:rFonts w:hint="eastAsia" w:ascii="楷体" w:hAnsi="楷体" w:eastAsia="楷体" w:cs="楷体"/>
                <w:color w:val="000000"/>
                <w:kern w:val="0"/>
                <w:szCs w:val="21"/>
              </w:rPr>
            </w:pPr>
            <w:r>
              <w:rPr>
                <w:rFonts w:hint="eastAsia" w:ascii="楷体" w:hAnsi="楷体" w:eastAsia="楷体" w:cs="楷体"/>
                <w:color w:val="000000"/>
                <w:kern w:val="0"/>
                <w:szCs w:val="21"/>
              </w:rPr>
              <w:t>● 教学内容与</w:t>
            </w:r>
          </w:p>
          <w:p>
            <w:pPr>
              <w:widowControl/>
              <w:ind w:left="210" w:leftChars="100"/>
              <w:jc w:val="both"/>
              <w:rPr>
                <w:rFonts w:hint="eastAsia" w:ascii="楷体" w:hAnsi="楷体" w:eastAsia="楷体" w:cs="楷体"/>
                <w:color w:val="000000"/>
                <w:kern w:val="0"/>
                <w:szCs w:val="21"/>
              </w:rPr>
            </w:pPr>
            <w:r>
              <w:rPr>
                <w:rFonts w:hint="eastAsia" w:ascii="楷体" w:hAnsi="楷体" w:eastAsia="楷体" w:cs="楷体"/>
                <w:color w:val="000000"/>
                <w:kern w:val="0"/>
                <w:szCs w:val="21"/>
              </w:rPr>
              <w:t>课程资源建设</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ind w:firstLine="105" w:firstLineChars="50"/>
              <w:jc w:val="both"/>
              <w:rPr>
                <w:rFonts w:hint="eastAsia" w:ascii="楷体" w:hAnsi="楷体" w:eastAsia="楷体" w:cs="楷体"/>
                <w:color w:val="000000"/>
                <w:kern w:val="0"/>
                <w:szCs w:val="21"/>
              </w:rPr>
            </w:pPr>
            <w:r>
              <w:rPr>
                <w:rFonts w:hint="eastAsia" w:ascii="楷体" w:hAnsi="楷体" w:eastAsia="楷体" w:cs="楷体"/>
                <w:color w:val="000000"/>
                <w:kern w:val="0"/>
                <w:szCs w:val="21"/>
              </w:rPr>
              <w:t>●</w:t>
            </w:r>
            <w:r>
              <w:rPr>
                <w:rFonts w:hint="eastAsia" w:ascii="楷体" w:hAnsi="楷体" w:eastAsia="楷体" w:cs="楷体"/>
                <w:b/>
                <w:bCs/>
                <w:color w:val="FF0000"/>
                <w:sz w:val="24"/>
                <w:u w:val="single"/>
              </w:rPr>
              <w:t>课堂教学与学习评价</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课程建设有规划、有标准、有措施、有成效；</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根据培养目标的要求和学生的需求，开设了足够数量的选修课；教学内容符合本专业人才培养目标，能够反映本学科专业发展方向和经济社会发展需要，教学大纲规范完备，执行严格；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注重教材建设，有科学的教材选用和质量监管制度；</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多媒体课件教学效果好，能有效利用网络教学资源。</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有鼓励教师积极参与教学方法改革的政策和措施，注重学生创新精神培养，教师能够开展启发式、参与式等教学，课程考核方式科学多样。</w:t>
            </w:r>
          </w:p>
          <w:p>
            <w:pPr>
              <w:widowControl/>
              <w:jc w:val="both"/>
              <w:rPr>
                <w:rFonts w:hint="eastAsia" w:ascii="楷体" w:hAnsi="楷体" w:eastAsia="楷体" w:cs="楷体"/>
                <w:color w:val="000000"/>
                <w:kern w:val="0"/>
                <w:szCs w:val="21"/>
              </w:rPr>
            </w:pP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rPr>
            </w:pPr>
            <w:r>
              <w:rPr>
                <w:rFonts w:hint="eastAsia" w:ascii="楷体" w:hAnsi="楷体" w:eastAsia="楷体" w:cs="楷体"/>
              </w:rPr>
              <w:t>观测点“教学方法与学习评价”名称调整为“</w:t>
            </w:r>
            <w:r>
              <w:rPr>
                <w:rFonts w:hint="eastAsia" w:ascii="楷体" w:hAnsi="楷体" w:eastAsia="楷体" w:cs="楷体"/>
                <w:b/>
                <w:bCs/>
                <w:color w:val="FF0000"/>
                <w:sz w:val="24"/>
                <w:u w:val="single"/>
              </w:rPr>
              <w:t>课堂教学与学习评价</w:t>
            </w:r>
            <w:r>
              <w:rPr>
                <w:rFonts w:hint="eastAsia" w:ascii="楷体" w:hAnsi="楷体" w:eastAsia="楷体" w:cs="楷体"/>
              </w:rPr>
              <w:t>"。</w:t>
            </w:r>
          </w:p>
        </w:tc>
        <w:tc>
          <w:tcPr>
            <w:tcW w:w="3130" w:type="dxa"/>
            <w:tcBorders>
              <w:top w:val="single" w:color="auto" w:sz="4" w:space="0"/>
              <w:left w:val="single" w:color="auto" w:sz="4" w:space="0"/>
              <w:bottom w:val="single" w:color="auto" w:sz="4" w:space="0"/>
              <w:right w:val="single" w:color="auto" w:sz="12" w:space="0"/>
            </w:tcBorders>
            <w:vAlign w:val="center"/>
          </w:tcPr>
          <w:p>
            <w:pPr>
              <w:widowControl/>
              <w:ind w:left="210" w:hanging="210" w:hangingChars="100"/>
              <w:jc w:val="both"/>
              <w:rPr>
                <w:rFonts w:hint="eastAsia" w:ascii="楷体" w:hAnsi="楷体" w:eastAsia="楷体" w:cs="楷体"/>
                <w:color w:val="000000"/>
                <w:kern w:val="0"/>
                <w:szCs w:val="21"/>
              </w:rPr>
            </w:pPr>
            <w:r>
              <w:rPr>
                <w:rFonts w:hint="eastAsia" w:ascii="楷体" w:hAnsi="楷体" w:eastAsia="楷体" w:cs="楷体"/>
                <w:color w:val="000000"/>
                <w:kern w:val="0"/>
                <w:szCs w:val="21"/>
              </w:rPr>
              <w:t>● 教学内容与课程资源建设</w:t>
            </w:r>
          </w:p>
          <w:p>
            <w:pPr>
              <w:widowControl/>
              <w:jc w:val="both"/>
              <w:rPr>
                <w:rFonts w:hint="eastAsia" w:ascii="楷体" w:hAnsi="楷体" w:eastAsia="楷体" w:cs="楷体"/>
              </w:rPr>
            </w:pPr>
            <w:r>
              <w:rPr>
                <w:rFonts w:hint="eastAsia" w:ascii="楷体" w:hAnsi="楷体" w:eastAsia="楷体" w:cs="楷体"/>
              </w:rPr>
              <w:t>课程建设有规划、有标准、有措施、有成效；根据培养目标的要求和学生的需求，开设了足够数量的选修课；教学内容符合本专业人才培养目标，能够反映本学科专业发展方向和经济社会发展需要，教学大纲规范完备，执行严格；注重</w:t>
            </w:r>
            <w:r>
              <w:rPr>
                <w:rFonts w:hint="eastAsia" w:ascii="楷体" w:hAnsi="楷体" w:eastAsia="楷体" w:cs="楷体"/>
                <w:b/>
                <w:bCs/>
                <w:color w:val="FF0000"/>
                <w:sz w:val="24"/>
                <w:szCs w:val="32"/>
                <w:u w:val="single"/>
              </w:rPr>
              <w:t>以专业应用能力培养为导向的</w:t>
            </w:r>
            <w:r>
              <w:rPr>
                <w:rFonts w:hint="eastAsia" w:ascii="楷体" w:hAnsi="楷体" w:eastAsia="楷体" w:cs="楷体"/>
              </w:rPr>
              <w:t>教材建设，有科学的教材选用和质量监管制度；能有效利用网络教学资源</w:t>
            </w:r>
            <w:r>
              <w:rPr>
                <w:rFonts w:hint="eastAsia" w:ascii="楷体" w:hAnsi="楷体" w:eastAsia="楷体" w:cs="楷体"/>
                <w:b/>
                <w:bCs/>
              </w:rPr>
              <w:t>，</w:t>
            </w:r>
            <w:r>
              <w:rPr>
                <w:rFonts w:hint="eastAsia" w:ascii="楷体" w:hAnsi="楷体" w:eastAsia="楷体" w:cs="楷体"/>
                <w:b/>
                <w:bCs/>
                <w:color w:val="FF0000"/>
                <w:sz w:val="24"/>
                <w:szCs w:val="32"/>
                <w:u w:val="single"/>
              </w:rPr>
              <w:t>现代教学技术和手段使用效果较好</w:t>
            </w:r>
            <w:r>
              <w:rPr>
                <w:rFonts w:hint="eastAsia" w:ascii="楷体" w:hAnsi="楷体" w:eastAsia="楷体" w:cs="楷体"/>
              </w:rPr>
              <w:t>。</w:t>
            </w:r>
          </w:p>
          <w:p>
            <w:pPr>
              <w:widowControl/>
              <w:jc w:val="both"/>
              <w:rPr>
                <w:rFonts w:hint="eastAsia" w:ascii="楷体" w:hAnsi="楷体" w:eastAsia="楷体" w:cs="楷体"/>
              </w:rPr>
            </w:pPr>
          </w:p>
          <w:p>
            <w:pPr>
              <w:widowControl/>
              <w:jc w:val="both"/>
              <w:rPr>
                <w:rFonts w:hint="eastAsia" w:ascii="楷体" w:hAnsi="楷体" w:eastAsia="楷体" w:cs="楷体"/>
              </w:rPr>
            </w:pPr>
            <w:r>
              <w:rPr>
                <w:rFonts w:hint="eastAsia" w:ascii="楷体" w:hAnsi="楷体" w:eastAsia="楷体" w:cs="楷体"/>
                <w:color w:val="000000"/>
                <w:kern w:val="0"/>
                <w:szCs w:val="21"/>
              </w:rPr>
              <w:t>●</w:t>
            </w:r>
            <w:r>
              <w:rPr>
                <w:rFonts w:hint="eastAsia" w:ascii="楷体" w:hAnsi="楷体" w:eastAsia="楷体" w:cs="楷体"/>
                <w:b/>
                <w:bCs/>
                <w:color w:val="FF0000"/>
                <w:sz w:val="24"/>
                <w:u w:val="single"/>
              </w:rPr>
              <w:t>课堂教学与学习评价</w:t>
            </w:r>
          </w:p>
          <w:p>
            <w:pPr>
              <w:widowControl/>
              <w:jc w:val="both"/>
              <w:rPr>
                <w:rFonts w:hint="eastAsia" w:ascii="楷体" w:hAnsi="楷体" w:eastAsia="楷体" w:cs="楷体"/>
              </w:rPr>
            </w:pPr>
            <w:r>
              <w:rPr>
                <w:rFonts w:hint="eastAsia" w:ascii="楷体" w:hAnsi="楷体" w:eastAsia="楷体" w:cs="楷体"/>
                <w:b/>
                <w:bCs/>
                <w:color w:val="FF0000"/>
                <w:sz w:val="24"/>
                <w:u w:val="single"/>
              </w:rPr>
              <w:t>推进课堂教学改革</w:t>
            </w:r>
            <w:r>
              <w:rPr>
                <w:rFonts w:hint="eastAsia" w:ascii="楷体" w:hAnsi="楷体" w:eastAsia="楷体" w:cs="楷体"/>
              </w:rPr>
              <w:t>，有鼓励教师积极参与教学方法改革的政策和措施，</w:t>
            </w:r>
            <w:r>
              <w:rPr>
                <w:rFonts w:hint="eastAsia" w:ascii="楷体" w:hAnsi="楷体" w:eastAsia="楷体" w:cs="楷体"/>
                <w:b/>
                <w:bCs/>
                <w:color w:val="FF0000"/>
                <w:sz w:val="24"/>
                <w:u w:val="single"/>
              </w:rPr>
              <w:t>课堂教学体现以学生能力培养为中心</w:t>
            </w:r>
            <w:r>
              <w:rPr>
                <w:rFonts w:hint="eastAsia" w:ascii="楷体" w:hAnsi="楷体" w:eastAsia="楷体" w:cs="楷体"/>
              </w:rPr>
              <w:t>，注重学生创新创业精神</w:t>
            </w:r>
            <w:r>
              <w:rPr>
                <w:rFonts w:hint="eastAsia" w:ascii="楷体" w:hAnsi="楷体" w:eastAsia="楷体" w:cs="楷体"/>
                <w:b/>
                <w:bCs/>
                <w:color w:val="FF0000"/>
                <w:sz w:val="24"/>
                <w:u w:val="single"/>
              </w:rPr>
              <w:t>和能力</w:t>
            </w:r>
            <w:r>
              <w:rPr>
                <w:rFonts w:hint="eastAsia" w:ascii="楷体" w:hAnsi="楷体" w:eastAsia="楷体" w:cs="楷体"/>
              </w:rPr>
              <w:t>培养，教师能够开展启发式、参与式、</w:t>
            </w:r>
            <w:r>
              <w:rPr>
                <w:rFonts w:hint="eastAsia" w:ascii="楷体" w:hAnsi="楷体" w:eastAsia="楷体" w:cs="楷体"/>
                <w:b/>
                <w:bCs/>
                <w:color w:val="FF0000"/>
                <w:sz w:val="24"/>
                <w:u w:val="single"/>
              </w:rPr>
              <w:t>讨论式</w:t>
            </w:r>
            <w:r>
              <w:rPr>
                <w:rFonts w:hint="eastAsia" w:ascii="楷体" w:hAnsi="楷体" w:eastAsia="楷体" w:cs="楷体"/>
              </w:rPr>
              <w:t>等教学；课程考核方式科学多样。</w:t>
            </w: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4.3</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实践</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教学</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●实验教学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实习实训</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●社会实践</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●毕业论文（设计）与综合训练</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实验开出率达到教学大纲要求的90%；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有一定数量的综合性、设计性实验，有开放性实验室；</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实验指导人员结构合理，实验教学效果较好。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能与企事业单位紧密合作开展实习实训；</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时间和经费有保证；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指导到位，考核科学，效果较好。</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把社会实践纳入学校教学计划，规定学时学分，对学生参加社会实践提出时间和任务要求；</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把教师参加和指导大学生社会实践计入工作量。</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选题紧密结合生产和社会实际，难度、工作量适当，体现专业综合训练要求；</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有50％以上毕业论文（设计）［注7］在实验、实习、工程实践和社会调查等社会实践中完成；</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教师指导学生人数比例适当，指导规范，论文（设计）质量合格。</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[注7]包括不同科类毕业汇报演出、作品展示、医学临床实习、社会调查报告等。</w:t>
            </w: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实习实训</w:t>
            </w:r>
          </w:p>
          <w:p>
            <w:pPr>
              <w:widowControl/>
              <w:jc w:val="both"/>
              <w:rPr>
                <w:rFonts w:hint="eastAsia" w:ascii="楷体" w:hAnsi="楷体" w:eastAsia="楷体" w:cs="楷体"/>
                <w:color w:val="000000"/>
                <w:kern w:val="0"/>
                <w:szCs w:val="21"/>
              </w:rPr>
            </w:pPr>
            <w:r>
              <w:rPr>
                <w:rFonts w:hint="eastAsia" w:ascii="楷体" w:hAnsi="楷体" w:eastAsia="楷体" w:cs="楷体"/>
              </w:rPr>
              <w:t>能与企事业单位紧密合作开展实习实训；</w:t>
            </w:r>
            <w:r>
              <w:rPr>
                <w:rFonts w:hint="eastAsia" w:ascii="楷体" w:hAnsi="楷体" w:eastAsia="楷体" w:cs="楷体"/>
                <w:b/>
                <w:bCs/>
                <w:color w:val="FF0000"/>
                <w:sz w:val="24"/>
                <w:u w:val="single"/>
              </w:rPr>
              <w:t>每个专业建立有稳定的实习实训基地</w:t>
            </w:r>
            <w:r>
              <w:rPr>
                <w:rFonts w:hint="eastAsia" w:ascii="楷体" w:hAnsi="楷体" w:eastAsia="楷体" w:cs="楷体"/>
              </w:rPr>
              <w:t>，时间和经费有保证；指导到位，考核科学，效果较好。</w:t>
            </w: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质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量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管 </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理</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5.1</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教学</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管理</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队伍</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[注8]</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结构与素质</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结构较为合理，队伍基本稳定，服务意识较强；</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注重教学管理队伍培训，积极开展教学管理研究，有一定数量的研究实践成果。</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[注8]教学管理队伍包括学校分管教学的校领导、教务处等专职教学管理人员、院（系、部）分管教学工作的院长（主任）、教学秘书等教学管理人员。</w:t>
            </w: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5.2</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质量</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监控</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规章制度</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质量控制</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教学管理制度规范、完备，主要教学环节的质量标准执行较严格，教学运行平稳有序。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学校建立了自我评估制度，并注意发挥高校教学基本状态数据库的作用，对教学质量进行常态监控。</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spacing w:after="628"/>
              <w:ind w:left="53" w:hanging="10"/>
              <w:jc w:val="both"/>
              <w:rPr>
                <w:rFonts w:hint="eastAsia" w:ascii="楷体" w:hAnsi="楷体" w:eastAsia="楷体" w:cs="楷体"/>
                <w:color w:val="000000"/>
                <w:kern w:val="0"/>
                <w:szCs w:val="21"/>
              </w:rPr>
            </w:pPr>
            <w:r>
              <w:rPr>
                <w:rFonts w:hint="eastAsia" w:ascii="楷体" w:hAnsi="楷体" w:eastAsia="楷体" w:cs="楷体"/>
              </w:rPr>
              <w:t>学校建立了自我评估制度，并注意发挥</w:t>
            </w:r>
            <w:r>
              <w:rPr>
                <w:rFonts w:hint="eastAsia" w:ascii="楷体" w:hAnsi="楷体" w:eastAsia="楷体" w:cs="楷体"/>
                <w:b/>
                <w:bCs/>
                <w:color w:val="FF0000"/>
                <w:sz w:val="24"/>
                <w:u w:val="single"/>
              </w:rPr>
              <w:t>高等教育质量监测国家数据平台的</w:t>
            </w:r>
            <w:r>
              <w:rPr>
                <w:rFonts w:hint="eastAsia" w:ascii="楷体" w:hAnsi="楷体" w:eastAsia="楷体" w:cs="楷体"/>
              </w:rPr>
              <w:t>作用，对教学质量进行常态监控。</w:t>
            </w: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学</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风</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建</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设</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与</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学</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生</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指</w:t>
            </w:r>
          </w:p>
          <w:p>
            <w:pPr>
              <w:widowControl/>
              <w:jc w:val="both"/>
              <w:rPr>
                <w:rFonts w:hint="eastAsia" w:ascii="楷体" w:hAnsi="楷体" w:eastAsia="楷体" w:cs="楷体"/>
                <w:b/>
                <w:color w:val="000000"/>
                <w:kern w:val="0"/>
                <w:szCs w:val="21"/>
              </w:rPr>
            </w:pPr>
            <w:r>
              <w:rPr>
                <w:rFonts w:hint="eastAsia" w:ascii="楷体" w:hAnsi="楷体" w:eastAsia="楷体" w:cs="楷体"/>
                <w:b/>
                <w:color w:val="000000"/>
                <w:kern w:val="0"/>
                <w:szCs w:val="21"/>
              </w:rPr>
              <w:t>导</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6.1</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学风</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建设</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政策与措施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学习氛围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校园文化活动</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有调动学生学习积极性的政策与措施，开展了行之有效的学风建设活动。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营造了良好的学习氛围，学生学习主动、奋发向上，自觉遵守校纪校规，考风考纪良好。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积极开展校园文化活动，指导学生社团建设与发展，搭建了学生课外科技及文体活动平台，措施具体，学生参与面广泛，对提高学生综合素质起到了积极作用，学生评价较好。</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4" w:space="0"/>
              <w:right w:val="single" w:color="auto" w:sz="4" w:space="0"/>
            </w:tcBorders>
            <w:vAlign w:val="center"/>
          </w:tcPr>
          <w:p>
            <w:pPr>
              <w:widowControl/>
              <w:jc w:val="both"/>
              <w:rPr>
                <w:rFonts w:hint="eastAsia" w:ascii="楷体" w:hAnsi="楷体" w:eastAsia="楷体" w:cs="楷体"/>
                <w:b/>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6.2</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指导</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与服务</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组织保障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学生服务</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每个班级配有兼职班主任或指导教师；按师生比不低于1:200的比例设置一线专职辅导员岗位；专职就业指导教师和专职就业工作人员与应届毕业生的比例要保持不低于1:500；按师生比不低于1:5000的比例配备专职从事心理健康教育的教师且不少于2名，并设置了相关机构；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有调动教师参与学生指导工作的政策与措施，形成教师与学生交流沟通机制。</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开展了大学生学习指导、职业生涯规划指导、创业教育指导、就业指导与服务、家庭经济困难学生资助、心理健康咨询等服务，学生比较满意；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有跟踪调查毕业生发展情况的制度。</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12"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b/>
                <w:bCs/>
                <w:color w:val="000000"/>
                <w:kern w:val="0"/>
                <w:szCs w:val="21"/>
              </w:rPr>
              <w:t>教</w:t>
            </w: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b/>
                <w:bCs/>
                <w:color w:val="000000"/>
                <w:kern w:val="0"/>
                <w:szCs w:val="21"/>
              </w:rPr>
              <w:t>学</w:t>
            </w: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b/>
                <w:bCs/>
                <w:color w:val="000000"/>
                <w:kern w:val="0"/>
                <w:szCs w:val="21"/>
              </w:rPr>
              <w:t>质</w:t>
            </w: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b/>
                <w:bCs/>
                <w:color w:val="000000"/>
                <w:kern w:val="0"/>
                <w:szCs w:val="21"/>
              </w:rPr>
              <w:t>量</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7.1</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德育</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思想政治教育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思想品德</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学校创新思想政治教育形式，丰富思想政治教育内容，思想政治教育工作的针对性和实效性较强，学生比较满意，评价较高。</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学生展现出良好的思想政治素质，表现出服务国家和服务人民的社会责任感和公民意识，具有团结互助、诚实守信、遵纪守法、艰苦奋斗的良好品质，学生能积极参与志愿服务等公益活动。</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spacing w:line="216" w:lineRule="auto"/>
              <w:jc w:val="both"/>
              <w:rPr>
                <w:rFonts w:hint="eastAsia" w:ascii="楷体" w:hAnsi="楷体" w:eastAsia="楷体" w:cs="楷体"/>
              </w:rPr>
            </w:pPr>
            <w:r>
              <w:rPr>
                <w:rFonts w:hint="eastAsia" w:ascii="楷体" w:hAnsi="楷体" w:eastAsia="楷体" w:cs="楷体"/>
              </w:rPr>
              <w:t>创新思想政治教育形式，丰富思想政治教育内容，</w:t>
            </w:r>
            <w:r>
              <w:rPr>
                <w:rFonts w:hint="eastAsia" w:ascii="楷体" w:hAnsi="楷体" w:eastAsia="楷体" w:cs="楷体"/>
                <w:b/>
                <w:bCs/>
                <w:color w:val="FF0000"/>
                <w:sz w:val="24"/>
                <w:u w:val="single"/>
              </w:rPr>
              <w:t>把思想政治工作贯穿教育教学全过程，实现全程育人、全方位育人；落实国家标准，健全组织机构，加强队伍建设</w:t>
            </w:r>
            <w:r>
              <w:rPr>
                <w:rFonts w:hint="eastAsia" w:ascii="楷体" w:hAnsi="楷体" w:eastAsia="楷体" w:cs="楷体"/>
              </w:rPr>
              <w:t>，思想政治教育工作的针对性和实效性较强，学生比较满意，评价较高。</w:t>
            </w:r>
          </w:p>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7.2</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专业</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知识</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和能力</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专业基本理论与技能</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专业能力</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达到培养目标的要求，学生掌握了专业基本理论、基本知识和基本技能。</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具备了从事本专业相关工作的能力。</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7.3</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体育</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美育</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体育和美育</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国家大学生体质健康标准》合格率达85％，学生身心健康；</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开设了艺术教育课程，开展了丰富多彩的文化活动，注重培养学生良好的审美情趣和人文素养。</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7.4</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校内</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外评价</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师生评价</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社会评价</w:t>
            </w:r>
          </w:p>
        </w:tc>
        <w:tc>
          <w:tcPr>
            <w:tcW w:w="360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学生对教学工作及教学效果比较满意，评价较好；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教师对学校教学工作和学生学习状况比较满意。</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学校声誉较好，学生报到率较高；</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毕业生对学校教育教学工作认可度较高，评价较好；</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用人单位对毕业生满意度较高。</w:t>
            </w:r>
          </w:p>
        </w:tc>
        <w:tc>
          <w:tcPr>
            <w:tcW w:w="1746"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4" w:space="0"/>
              <w:right w:val="single" w:color="auto" w:sz="12" w:space="0"/>
            </w:tcBorders>
            <w:vAlign w:val="center"/>
          </w:tcPr>
          <w:p>
            <w:pPr>
              <w:widowControl/>
              <w:jc w:val="both"/>
              <w:rPr>
                <w:rFonts w:hint="eastAsia" w:ascii="楷体" w:hAnsi="楷体" w:eastAsia="楷体" w:cs="楷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12"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p>
        </w:tc>
        <w:tc>
          <w:tcPr>
            <w:tcW w:w="779" w:type="dxa"/>
            <w:tcBorders>
              <w:top w:val="single" w:color="auto" w:sz="4" w:space="0"/>
              <w:left w:val="single" w:color="auto" w:sz="4"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7.5</w:t>
            </w: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就业</w:t>
            </w:r>
          </w:p>
          <w:p>
            <w:pPr>
              <w:widowControl/>
              <w:jc w:val="both"/>
              <w:rPr>
                <w:rFonts w:hint="eastAsia" w:ascii="楷体" w:hAnsi="楷体" w:eastAsia="楷体" w:cs="楷体"/>
                <w:color w:val="000000"/>
                <w:kern w:val="0"/>
                <w:szCs w:val="21"/>
              </w:rPr>
            </w:pPr>
          </w:p>
        </w:tc>
        <w:tc>
          <w:tcPr>
            <w:tcW w:w="1103" w:type="dxa"/>
            <w:tcBorders>
              <w:top w:val="single" w:color="auto" w:sz="4" w:space="0"/>
              <w:left w:val="single" w:color="auto" w:sz="4"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就业率 </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就业质量 </w:t>
            </w:r>
          </w:p>
        </w:tc>
        <w:tc>
          <w:tcPr>
            <w:tcW w:w="3609" w:type="dxa"/>
            <w:tcBorders>
              <w:top w:val="single" w:color="auto" w:sz="4" w:space="0"/>
              <w:left w:val="single" w:color="auto" w:sz="4" w:space="0"/>
              <w:bottom w:val="single" w:color="auto" w:sz="12" w:space="0"/>
              <w:right w:val="single" w:color="auto" w:sz="4" w:space="0"/>
            </w:tcBorders>
            <w:vAlign w:val="center"/>
          </w:tcPr>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应届毕业生的初次就业率达到本地区高校平均水平。</w:t>
            </w:r>
          </w:p>
          <w:p>
            <w:pPr>
              <w:widowControl/>
              <w:jc w:val="both"/>
              <w:rPr>
                <w:rFonts w:hint="eastAsia" w:ascii="楷体" w:hAnsi="楷体" w:eastAsia="楷体" w:cs="楷体"/>
                <w:color w:val="000000"/>
                <w:kern w:val="0"/>
                <w:szCs w:val="21"/>
              </w:rPr>
            </w:pPr>
          </w:p>
          <w:p>
            <w:pPr>
              <w:widowControl/>
              <w:jc w:val="both"/>
              <w:rPr>
                <w:rFonts w:hint="eastAsia" w:ascii="楷体" w:hAnsi="楷体" w:eastAsia="楷体" w:cs="楷体"/>
                <w:color w:val="000000"/>
                <w:kern w:val="0"/>
                <w:szCs w:val="21"/>
              </w:rPr>
            </w:pPr>
            <w:r>
              <w:rPr>
                <w:rFonts w:hint="eastAsia" w:ascii="楷体" w:hAnsi="楷体" w:eastAsia="楷体" w:cs="楷体"/>
                <w:color w:val="000000"/>
                <w:kern w:val="0"/>
                <w:szCs w:val="21"/>
              </w:rPr>
              <w:t>就业面向符合学校培养目标要求，毕业生就业岗位与所学专业相关性较高，就业岗位适应性较强，有良好的发展机会。毕业生和用人单位对就业工作的满意度较高。</w:t>
            </w:r>
          </w:p>
        </w:tc>
        <w:tc>
          <w:tcPr>
            <w:tcW w:w="1746" w:type="dxa"/>
            <w:tcBorders>
              <w:top w:val="single" w:color="auto" w:sz="4" w:space="0"/>
              <w:left w:val="single" w:color="auto" w:sz="4" w:space="0"/>
              <w:bottom w:val="single" w:color="auto" w:sz="12"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380" w:type="dxa"/>
            <w:tcBorders>
              <w:top w:val="single" w:color="auto" w:sz="4" w:space="0"/>
              <w:left w:val="single" w:color="auto" w:sz="4" w:space="0"/>
              <w:bottom w:val="single" w:color="auto" w:sz="12" w:space="0"/>
              <w:right w:val="single" w:color="auto" w:sz="12" w:space="0"/>
            </w:tcBorders>
            <w:vAlign w:val="center"/>
          </w:tcPr>
          <w:p>
            <w:pPr>
              <w:widowControl/>
              <w:jc w:val="both"/>
              <w:rPr>
                <w:rFonts w:hint="eastAsia" w:ascii="楷体" w:hAnsi="楷体" w:eastAsia="楷体" w:cs="楷体"/>
                <w:color w:val="000000"/>
                <w:kern w:val="0"/>
                <w:szCs w:val="21"/>
              </w:rPr>
            </w:pPr>
          </w:p>
        </w:tc>
        <w:tc>
          <w:tcPr>
            <w:tcW w:w="3130" w:type="dxa"/>
            <w:tcBorders>
              <w:top w:val="single" w:color="auto" w:sz="4" w:space="0"/>
              <w:left w:val="single" w:color="auto" w:sz="4" w:space="0"/>
              <w:bottom w:val="single" w:color="auto" w:sz="12" w:space="0"/>
              <w:right w:val="single" w:color="auto" w:sz="12" w:space="0"/>
            </w:tcBorders>
            <w:vAlign w:val="center"/>
          </w:tcPr>
          <w:p>
            <w:pPr>
              <w:widowControl/>
              <w:jc w:val="both"/>
              <w:rPr>
                <w:rFonts w:hint="eastAsia" w:ascii="楷体" w:hAnsi="楷体" w:eastAsia="楷体" w:cs="楷体"/>
                <w:color w:val="000000"/>
                <w:kern w:val="0"/>
                <w:szCs w:val="21"/>
              </w:rPr>
            </w:pPr>
          </w:p>
        </w:tc>
        <w:tc>
          <w:tcPr>
            <w:tcW w:w="1820" w:type="dxa"/>
            <w:tcBorders>
              <w:top w:val="single" w:color="auto" w:sz="4" w:space="0"/>
              <w:left w:val="single" w:color="auto" w:sz="4" w:space="0"/>
              <w:bottom w:val="single" w:color="auto" w:sz="12" w:space="0"/>
              <w:right w:val="single" w:color="auto" w:sz="12" w:space="0"/>
            </w:tcBorders>
            <w:vAlign w:val="center"/>
          </w:tcPr>
          <w:p>
            <w:pPr>
              <w:widowControl/>
              <w:jc w:val="both"/>
              <w:rPr>
                <w:rFonts w:hint="eastAsia" w:ascii="楷体" w:hAnsi="楷体" w:eastAsia="楷体" w:cs="楷体"/>
                <w:color w:val="000000"/>
                <w:kern w:val="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MmExMTNkZmY5MDNmMzhhOTZjN2M2ODZiNTBiYmMifQ=="/>
  </w:docVars>
  <w:rsids>
    <w:rsidRoot w:val="00B838B8"/>
    <w:rsid w:val="004E3413"/>
    <w:rsid w:val="005A2044"/>
    <w:rsid w:val="006416D2"/>
    <w:rsid w:val="00743079"/>
    <w:rsid w:val="008344E1"/>
    <w:rsid w:val="00885298"/>
    <w:rsid w:val="00B00AD2"/>
    <w:rsid w:val="00B838B8"/>
    <w:rsid w:val="00D77217"/>
    <w:rsid w:val="00E1074D"/>
    <w:rsid w:val="00E8322D"/>
    <w:rsid w:val="11D14B6D"/>
    <w:rsid w:val="147C6346"/>
    <w:rsid w:val="2018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4826</Words>
  <Characters>4935</Characters>
  <Lines>39</Lines>
  <Paragraphs>11</Paragraphs>
  <TotalTime>34</TotalTime>
  <ScaleCrop>false</ScaleCrop>
  <LinksUpToDate>false</LinksUpToDate>
  <CharactersWithSpaces>5046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2018-06-20T02:26:00Z</dcterms:created>
  <dc:creator>谢峰</dc:creator>
  <cp:lastModifiedBy>慧子</cp:lastModifiedBy>
  <dcterms:modified xsi:type="dcterms:W3CDTF">2024-03-01T07:08:14Z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7BE73CD2AF834F03928B226E8770895A_12</vt:lpwstr>
  </property>
</Properties>
</file>